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6499" w14:textId="77777777" w:rsidR="00D95513" w:rsidRPr="00C234FB" w:rsidRDefault="004C3814">
      <w:pPr>
        <w:pStyle w:val="Body"/>
        <w:outlineLvl w:val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234FB">
        <w:rPr>
          <w:rFonts w:ascii="Verdana" w:eastAsia="Verdana" w:hAnsi="Verdana" w:cs="Verdan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B278097" wp14:editId="757D075B">
                <wp:simplePos x="0" y="0"/>
                <wp:positionH relativeFrom="margin">
                  <wp:posOffset>7332922</wp:posOffset>
                </wp:positionH>
                <wp:positionV relativeFrom="page">
                  <wp:posOffset>279400</wp:posOffset>
                </wp:positionV>
                <wp:extent cx="1253729" cy="4038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729" cy="403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380EE7" w14:textId="77777777" w:rsidR="00D95513" w:rsidRDefault="004C3814">
                            <w:pPr>
                              <w:pStyle w:val="Footnote"/>
                              <w:jc w:val="right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  <w:szCs w:val="14"/>
                              </w:rPr>
                              <w:t xml:space="preserve">Glen Thielmann </w:t>
                            </w:r>
                          </w:p>
                          <w:p w14:paraId="72A07999" w14:textId="77777777" w:rsidR="00D95513" w:rsidRDefault="004C3814">
                            <w:pPr>
                              <w:pStyle w:val="Footnote"/>
                              <w:jc w:val="right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  <w:szCs w:val="14"/>
                              </w:rPr>
                              <w:t>Pacific Slope Consortium</w:t>
                            </w:r>
                          </w:p>
                          <w:p w14:paraId="1165DFF1" w14:textId="77777777" w:rsidR="00D95513" w:rsidRDefault="004C3814">
                            <w:pPr>
                              <w:pStyle w:val="Footnote"/>
                              <w:jc w:val="right"/>
                            </w:pPr>
                            <w:r>
                              <w:rPr>
                                <w:rFonts w:ascii="Verdana"/>
                                <w:sz w:val="14"/>
                                <w:szCs w:val="1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78097" id="officeArt_x0020_object" o:spid="_x0000_s1026" style="position:absolute;margin-left:577.4pt;margin-top:22pt;width:98.7pt;height:31.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" filled="f" stroked="f" strokeweight="1pt">
                <v:stroke miterlimit="4"/>
                <v:textbox inset="4pt,4pt,4pt,4pt">
                  <w:txbxContent>
                    <w:p w14:paraId="25380EE7" w14:textId="77777777" w:rsidR="00D95513" w:rsidRDefault="004C3814">
                      <w:pPr>
                        <w:pStyle w:val="Footnote"/>
                        <w:jc w:val="righ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z w:val="14"/>
                          <w:szCs w:val="14"/>
                        </w:rPr>
                        <w:t xml:space="preserve">Glen Thielmann </w:t>
                      </w:r>
                    </w:p>
                    <w:p w14:paraId="72A07999" w14:textId="77777777" w:rsidR="00D95513" w:rsidRDefault="004C3814">
                      <w:pPr>
                        <w:pStyle w:val="Footnote"/>
                        <w:jc w:val="right"/>
                        <w:rPr>
                          <w:rFonts w:ascii="Verdana" w:eastAsia="Verdana" w:hAnsi="Verdana" w:cs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/>
                          <w:sz w:val="14"/>
                          <w:szCs w:val="14"/>
                        </w:rPr>
                        <w:t>Pacific Slope Consortium</w:t>
                      </w:r>
                    </w:p>
                    <w:p w14:paraId="1165DFF1" w14:textId="77777777" w:rsidR="00D95513" w:rsidRDefault="004C3814">
                      <w:pPr>
                        <w:pStyle w:val="Footnote"/>
                        <w:jc w:val="right"/>
                      </w:pPr>
                      <w:r>
                        <w:rPr>
                          <w:rFonts w:ascii="Verdana"/>
                          <w:sz w:val="14"/>
                          <w:szCs w:val="14"/>
                        </w:rPr>
                        <w:t>2016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C234FB">
        <w:rPr>
          <w:rFonts w:ascii="Verdana" w:eastAsia="Verdana" w:hAnsi="Verdana" w:cs="Verdana"/>
          <w:noProof/>
          <w:color w:val="000000" w:themeColor="text1"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58901A7B" wp14:editId="2B54B43B">
            <wp:simplePos x="0" y="0"/>
            <wp:positionH relativeFrom="margin">
              <wp:posOffset>7528378</wp:posOffset>
            </wp:positionH>
            <wp:positionV relativeFrom="line">
              <wp:posOffset>-19299</wp:posOffset>
            </wp:positionV>
            <wp:extent cx="1003572" cy="35353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8x3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572" cy="353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234FB">
        <w:rPr>
          <w:rFonts w:ascii="Verdana"/>
          <w:b/>
          <w:bCs/>
          <w:color w:val="000000" w:themeColor="text1"/>
        </w:rPr>
        <w:t>Towards Curricular Competency in Social Studies</w:t>
      </w:r>
    </w:p>
    <w:p w14:paraId="396117D3" w14:textId="77777777" w:rsidR="00D95513" w:rsidRPr="00C234FB" w:rsidRDefault="00D95513">
      <w:pPr>
        <w:pStyle w:val="Body"/>
        <w:rPr>
          <w:rFonts w:ascii="Verdana" w:eastAsia="Verdana" w:hAnsi="Verdana" w:cs="Verdana"/>
          <w:color w:val="000000" w:themeColor="text1"/>
          <w:sz w:val="12"/>
          <w:szCs w:val="12"/>
        </w:rPr>
      </w:pPr>
    </w:p>
    <w:p w14:paraId="5CDBD61D" w14:textId="77777777" w:rsidR="00D95513" w:rsidRPr="00C234FB" w:rsidRDefault="004C3814">
      <w:pPr>
        <w:pStyle w:val="Body"/>
        <w:spacing w:after="12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234FB">
        <w:rPr>
          <w:rFonts w:ascii="Verdana"/>
          <w:b/>
          <w:bCs/>
          <w:color w:val="000000" w:themeColor="text1"/>
          <w:sz w:val="20"/>
          <w:szCs w:val="20"/>
        </w:rPr>
        <w:t xml:space="preserve">General skills </w:t>
      </w:r>
    </w:p>
    <w:p w14:paraId="78B1F5EA" w14:textId="77777777" w:rsidR="00D95513" w:rsidRPr="00C234FB" w:rsidRDefault="004C3814" w:rsidP="00C234FB">
      <w:pPr>
        <w:pStyle w:val="Body"/>
        <w:numPr>
          <w:ilvl w:val="0"/>
          <w:numId w:val="17"/>
        </w:numPr>
        <w:spacing w:after="1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34FB">
        <w:rPr>
          <w:rFonts w:ascii="Verdana"/>
          <w:color w:val="000000" w:themeColor="text1"/>
          <w:sz w:val="22"/>
          <w:szCs w:val="22"/>
        </w:rPr>
        <w:t xml:space="preserve">practice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</w:rPr>
        <w:t>research</w:t>
      </w:r>
      <w:r w:rsidRPr="00C234FB">
        <w:rPr>
          <w:rFonts w:ascii="Verdana"/>
          <w:color w:val="000000" w:themeColor="text1"/>
          <w:sz w:val="22"/>
          <w:szCs w:val="22"/>
        </w:rPr>
        <w:t xml:space="preserve"> and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  <w:lang w:val="it-IT"/>
        </w:rPr>
        <w:t>inquiry</w:t>
      </w:r>
      <w:r w:rsidRPr="00C234FB">
        <w:rPr>
          <w:rFonts w:ascii="Verdana"/>
          <w:color w:val="000000" w:themeColor="text1"/>
          <w:sz w:val="22"/>
          <w:szCs w:val="22"/>
        </w:rPr>
        <w:t xml:space="preserve"> skills</w:t>
      </w:r>
      <w:r w:rsidRPr="00C234FB">
        <w:rPr>
          <w:rFonts w:ascii="Verdana" w:eastAsia="Verdana" w:hAnsi="Verdana" w:cs="Verdana"/>
          <w:color w:val="000000" w:themeColor="text1"/>
          <w:sz w:val="20"/>
          <w:szCs w:val="20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>Ask questions; gather, interpret, and analyze ideas; communicate findings and decisions.</w:t>
      </w:r>
    </w:p>
    <w:p w14:paraId="5E341AFA" w14:textId="77777777" w:rsidR="00D95513" w:rsidRPr="00C234FB" w:rsidRDefault="004C3814" w:rsidP="00C234FB">
      <w:pPr>
        <w:pStyle w:val="Body"/>
        <w:numPr>
          <w:ilvl w:val="0"/>
          <w:numId w:val="17"/>
        </w:numPr>
        <w:spacing w:after="1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234FB">
        <w:rPr>
          <w:rFonts w:ascii="Verdana"/>
          <w:color w:val="000000" w:themeColor="text1"/>
          <w:sz w:val="22"/>
          <w:szCs w:val="22"/>
        </w:rPr>
        <w:t xml:space="preserve">develop ability to build and tell powerful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</w:rPr>
        <w:t>stories</w:t>
      </w:r>
      <w:r w:rsidRPr="00C234FB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>Make authentic connections to learning, and employ timeless principles of storytelling in order to form different kinds of narratives related to subjects and ideas in Social Studies</w:t>
      </w:r>
    </w:p>
    <w:p w14:paraId="0FFBC429" w14:textId="77777777" w:rsidR="00D95513" w:rsidRPr="00C234FB" w:rsidRDefault="004C3814">
      <w:pPr>
        <w:pStyle w:val="Body"/>
        <w:spacing w:after="120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C234FB">
        <w:rPr>
          <w:rFonts w:ascii="Verdana"/>
          <w:b/>
          <w:bCs/>
          <w:color w:val="000000" w:themeColor="text1"/>
          <w:sz w:val="20"/>
          <w:szCs w:val="20"/>
        </w:rPr>
        <w:t>Historical/Geographical</w:t>
      </w:r>
      <w:r w:rsidRPr="00C234FB">
        <w:rPr>
          <w:rFonts w:ascii="Verdana"/>
          <w:b/>
          <w:bCs/>
          <w:color w:val="000000" w:themeColor="text1"/>
          <w:sz w:val="20"/>
          <w:szCs w:val="20"/>
        </w:rPr>
        <w:t>/C</w:t>
      </w:r>
      <w:r w:rsidRPr="00C234FB">
        <w:rPr>
          <w:rFonts w:ascii="Verdana"/>
          <w:b/>
          <w:bCs/>
          <w:color w:val="000000" w:themeColor="text1"/>
          <w:sz w:val="20"/>
          <w:szCs w:val="20"/>
          <w:lang w:val="it-IT"/>
        </w:rPr>
        <w:t>ritical</w:t>
      </w:r>
      <w:r w:rsidRPr="00C234FB">
        <w:rPr>
          <w:rFonts w:ascii="Verdana"/>
          <w:b/>
          <w:bCs/>
          <w:color w:val="000000" w:themeColor="text1"/>
          <w:sz w:val="20"/>
          <w:szCs w:val="20"/>
        </w:rPr>
        <w:t xml:space="preserve"> Thinking</w:t>
      </w:r>
    </w:p>
    <w:p w14:paraId="48A11C7B" w14:textId="77777777" w:rsidR="00D95513" w:rsidRPr="00C234FB" w:rsidRDefault="004C3814" w:rsidP="00C234FB">
      <w:pPr>
        <w:pStyle w:val="Body"/>
        <w:numPr>
          <w:ilvl w:val="0"/>
          <w:numId w:val="18"/>
        </w:numPr>
        <w:spacing w:after="120"/>
        <w:rPr>
          <w:rFonts w:ascii="Verdana" w:eastAsia="Verdana" w:hAnsi="Verdana" w:cs="Verdana"/>
          <w:i/>
          <w:iCs/>
          <w:color w:val="000000" w:themeColor="text1"/>
          <w:sz w:val="18"/>
          <w:szCs w:val="18"/>
        </w:rPr>
      </w:pPr>
      <w:r w:rsidRPr="00C234FB">
        <w:rPr>
          <w:rFonts w:ascii="Verdana"/>
          <w:color w:val="000000" w:themeColor="text1"/>
          <w:sz w:val="22"/>
          <w:szCs w:val="22"/>
        </w:rPr>
        <w:t xml:space="preserve">establish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</w:rPr>
        <w:t>historical and/or geographic significance</w:t>
      </w:r>
      <w:r w:rsidRPr="00C234FB">
        <w:rPr>
          <w:rFonts w:ascii="Verdana"/>
          <w:color w:val="000000" w:themeColor="text1"/>
          <w:sz w:val="20"/>
          <w:szCs w:val="20"/>
        </w:rPr>
        <w:t xml:space="preserve"> </w:t>
      </w:r>
      <w:r w:rsidRPr="00C234FB">
        <w:rPr>
          <w:rFonts w:ascii="Verdana"/>
          <w:color w:val="000000" w:themeColor="text1"/>
          <w:sz w:val="20"/>
          <w:szCs w:val="20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>Why we care, today, about certain events, trends, and issues in history.</w:t>
      </w:r>
      <w:r w:rsidRPr="00C234FB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 xml:space="preserve">Ex: 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>Why was the Battle of Britain in 1940 significant for Canada and the War Effort?</w:t>
      </w:r>
    </w:p>
    <w:p w14:paraId="67CE6E60" w14:textId="77777777" w:rsidR="00D95513" w:rsidRPr="00C234FB" w:rsidRDefault="004C3814" w:rsidP="00C234FB">
      <w:pPr>
        <w:pStyle w:val="Body"/>
        <w:numPr>
          <w:ilvl w:val="0"/>
          <w:numId w:val="18"/>
        </w:numPr>
        <w:spacing w:after="1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34FB">
        <w:rPr>
          <w:rFonts w:ascii="Verdana"/>
          <w:color w:val="000000" w:themeColor="text1"/>
          <w:sz w:val="22"/>
          <w:szCs w:val="22"/>
        </w:rPr>
        <w:t xml:space="preserve">use a variety of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  <w:lang w:val="nl-NL"/>
        </w:rPr>
        <w:t>data</w:t>
      </w:r>
      <w:r w:rsidRPr="00C234FB">
        <w:rPr>
          <w:rFonts w:ascii="Verdana"/>
          <w:color w:val="000000" w:themeColor="text1"/>
          <w:sz w:val="22"/>
          <w:szCs w:val="22"/>
        </w:rPr>
        <w:t xml:space="preserve"> including primary source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</w:rPr>
        <w:t>evidence</w:t>
      </w:r>
      <w:r w:rsidRPr="00C234FB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>How to find, select, put in context, compare, challenge, and interpret sources for a historical argument or an event.</w:t>
      </w:r>
      <w:r w:rsidRPr="00C234FB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 xml:space="preserve">Ex: 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 xml:space="preserve">What can an interview with person who was a </w:t>
      </w:r>
      <w:r w:rsidRPr="00C234FB">
        <w:rPr>
          <w:rFonts w:hAnsi="Verdana"/>
          <w:i/>
          <w:iCs/>
          <w:color w:val="000000" w:themeColor="text1"/>
          <w:sz w:val="18"/>
          <w:szCs w:val="18"/>
          <w:lang w:val="de-DE"/>
        </w:rPr>
        <w:t>“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>hippie</w:t>
      </w:r>
      <w:r w:rsidRPr="00C234FB">
        <w:rPr>
          <w:rFonts w:hAnsi="Verdana"/>
          <w:i/>
          <w:iCs/>
          <w:color w:val="000000" w:themeColor="text1"/>
          <w:sz w:val="18"/>
          <w:szCs w:val="18"/>
        </w:rPr>
        <w:t>”</w:t>
      </w:r>
      <w:r w:rsidRPr="00C234FB">
        <w:rPr>
          <w:rFonts w:hAnsi="Verdana"/>
          <w:i/>
          <w:iCs/>
          <w:color w:val="000000" w:themeColor="text1"/>
          <w:sz w:val="18"/>
          <w:szCs w:val="18"/>
        </w:rPr>
        <w:t xml:space="preserve"> 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>teenager in the 1960s tell us (or not tell us)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 xml:space="preserve"> about the Counterculture Movement in Canada?</w:t>
      </w:r>
    </w:p>
    <w:p w14:paraId="756D54F4" w14:textId="77777777" w:rsidR="00D95513" w:rsidRPr="00C234FB" w:rsidRDefault="004C3814" w:rsidP="00C234FB">
      <w:pPr>
        <w:pStyle w:val="Body"/>
        <w:numPr>
          <w:ilvl w:val="0"/>
          <w:numId w:val="18"/>
        </w:numPr>
        <w:spacing w:after="1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34FB">
        <w:rPr>
          <w:rFonts w:ascii="Verdana"/>
          <w:color w:val="000000" w:themeColor="text1"/>
          <w:sz w:val="22"/>
          <w:szCs w:val="22"/>
        </w:rPr>
        <w:t xml:space="preserve">identify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</w:rPr>
        <w:t>patterns, continuity and change</w:t>
      </w:r>
      <w:r w:rsidRPr="00C234FB">
        <w:rPr>
          <w:rFonts w:ascii="Verdana"/>
          <w:color w:val="000000" w:themeColor="text1"/>
          <w:sz w:val="20"/>
          <w:szCs w:val="20"/>
        </w:rPr>
        <w:t xml:space="preserve"> </w:t>
      </w:r>
      <w:r w:rsidRPr="00C234FB">
        <w:rPr>
          <w:rFonts w:ascii="Verdana"/>
          <w:color w:val="000000" w:themeColor="text1"/>
          <w:sz w:val="20"/>
          <w:szCs w:val="20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>What has changed and what has remained the same over time.</w:t>
      </w:r>
      <w:r w:rsidRPr="00C234FB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 xml:space="preserve">Ex: 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>How different are the lives of Chinese Canadians between the 1950s and today?</w:t>
      </w:r>
    </w:p>
    <w:p w14:paraId="7E610D0C" w14:textId="77777777" w:rsidR="00D95513" w:rsidRPr="00C234FB" w:rsidRDefault="004C3814" w:rsidP="00C234FB">
      <w:pPr>
        <w:pStyle w:val="Body"/>
        <w:numPr>
          <w:ilvl w:val="0"/>
          <w:numId w:val="18"/>
        </w:numPr>
        <w:spacing w:after="120"/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</w:pPr>
      <w:r w:rsidRPr="00C234FB">
        <w:rPr>
          <w:rFonts w:ascii="Verdana"/>
          <w:color w:val="000000" w:themeColor="text1"/>
          <w:sz w:val="22"/>
          <w:szCs w:val="22"/>
        </w:rPr>
        <w:t xml:space="preserve">analyze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</w:rPr>
        <w:t>cause and consequen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</w:rPr>
        <w:t>ce</w:t>
      </w:r>
      <w:r w:rsidRPr="00C234FB">
        <w:rPr>
          <w:rFonts w:ascii="Verdana"/>
          <w:color w:val="000000" w:themeColor="text1"/>
          <w:sz w:val="20"/>
          <w:szCs w:val="20"/>
        </w:rPr>
        <w:t xml:space="preserve"> </w:t>
      </w:r>
      <w:r w:rsidRPr="00C234FB">
        <w:rPr>
          <w:rFonts w:ascii="Verdana"/>
          <w:color w:val="000000" w:themeColor="text1"/>
          <w:sz w:val="20"/>
          <w:szCs w:val="20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 xml:space="preserve">How and why certain conditions and actions led to others. </w:t>
      </w:r>
      <w:r w:rsidRPr="00C234FB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 xml:space="preserve">Ex: 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>What were the causes of the World War One?</w:t>
      </w:r>
    </w:p>
    <w:p w14:paraId="6C3E81AA" w14:textId="77777777" w:rsidR="00D95513" w:rsidRPr="00C234FB" w:rsidRDefault="004C3814" w:rsidP="00C234FB">
      <w:pPr>
        <w:pStyle w:val="Body"/>
        <w:numPr>
          <w:ilvl w:val="0"/>
          <w:numId w:val="18"/>
        </w:numPr>
        <w:spacing w:after="1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34FB">
        <w:rPr>
          <w:rFonts w:ascii="Verdana"/>
          <w:color w:val="000000" w:themeColor="text1"/>
          <w:sz w:val="22"/>
          <w:szCs w:val="22"/>
          <w:lang w:val="de-DE"/>
        </w:rPr>
        <w:t xml:space="preserve">understand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</w:rPr>
        <w:t>interactions and associations</w:t>
      </w:r>
      <w:r w:rsidRPr="00C234FB">
        <w:rPr>
          <w:rFonts w:ascii="Verdana"/>
          <w:color w:val="000000" w:themeColor="text1"/>
          <w:sz w:val="20"/>
          <w:szCs w:val="20"/>
        </w:rPr>
        <w:t xml:space="preserve"> </w:t>
      </w:r>
      <w:r w:rsidRPr="00C234FB">
        <w:rPr>
          <w:rFonts w:ascii="Verdana"/>
          <w:color w:val="000000" w:themeColor="text1"/>
          <w:sz w:val="20"/>
          <w:szCs w:val="20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 xml:space="preserve">Interconnectedness between ideas, events, and things; in particular, the ways in which humans and the </w:t>
      </w:r>
      <w:r w:rsidRPr="00C234FB">
        <w:rPr>
          <w:rFonts w:ascii="Verdana"/>
          <w:color w:val="000000" w:themeColor="text1"/>
          <w:sz w:val="18"/>
          <w:szCs w:val="18"/>
        </w:rPr>
        <w:t>environment influence each other.</w:t>
      </w:r>
      <w:r w:rsidRPr="00C234FB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 xml:space="preserve">Ex: 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>How did farming practices in the Prairies influence and respond to drought conditions in the 1930s?</w:t>
      </w:r>
    </w:p>
    <w:p w14:paraId="35013DC9" w14:textId="77777777" w:rsidR="00D95513" w:rsidRPr="00C234FB" w:rsidRDefault="004C3814" w:rsidP="00C234FB">
      <w:pPr>
        <w:pStyle w:val="Body"/>
        <w:numPr>
          <w:ilvl w:val="0"/>
          <w:numId w:val="18"/>
        </w:numPr>
        <w:spacing w:after="1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C234FB">
        <w:rPr>
          <w:rFonts w:ascii="Verdana"/>
          <w:color w:val="000000" w:themeColor="text1"/>
          <w:sz w:val="22"/>
          <w:szCs w:val="22"/>
        </w:rPr>
        <w:t xml:space="preserve">take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</w:rPr>
        <w:t>historical and/or geographic perspectives</w:t>
      </w:r>
      <w:r w:rsidRPr="00C234FB">
        <w:rPr>
          <w:rFonts w:ascii="Verdana"/>
          <w:color w:val="000000" w:themeColor="text1"/>
          <w:sz w:val="20"/>
          <w:szCs w:val="20"/>
        </w:rPr>
        <w:t xml:space="preserve"> </w:t>
      </w:r>
      <w:r w:rsidRPr="00C234FB">
        <w:rPr>
          <w:rFonts w:ascii="Verdana"/>
          <w:color w:val="000000" w:themeColor="text1"/>
          <w:sz w:val="20"/>
          <w:szCs w:val="20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 xml:space="preserve">Understanding the </w:t>
      </w:r>
      <w:r w:rsidRPr="00C234FB">
        <w:rPr>
          <w:rFonts w:hAnsi="Verdana"/>
          <w:color w:val="000000" w:themeColor="text1"/>
          <w:sz w:val="18"/>
          <w:szCs w:val="18"/>
          <w:lang w:val="de-DE"/>
        </w:rPr>
        <w:t>“</w:t>
      </w:r>
      <w:r w:rsidRPr="00C234FB">
        <w:rPr>
          <w:rFonts w:ascii="Verdana"/>
          <w:color w:val="000000" w:themeColor="text1"/>
          <w:sz w:val="18"/>
          <w:szCs w:val="18"/>
        </w:rPr>
        <w:t>past as a foreign country,</w:t>
      </w:r>
      <w:r w:rsidRPr="00C234FB">
        <w:rPr>
          <w:rFonts w:hAnsi="Verdana"/>
          <w:color w:val="000000" w:themeColor="text1"/>
          <w:sz w:val="18"/>
          <w:szCs w:val="18"/>
        </w:rPr>
        <w:t>”</w:t>
      </w:r>
      <w:r w:rsidRPr="00C234FB">
        <w:rPr>
          <w:rFonts w:hAnsi="Verdana"/>
          <w:color w:val="000000" w:themeColor="text1"/>
          <w:sz w:val="18"/>
          <w:szCs w:val="18"/>
        </w:rPr>
        <w:t xml:space="preserve"> </w:t>
      </w:r>
      <w:r w:rsidRPr="00C234FB">
        <w:rPr>
          <w:rFonts w:ascii="Verdana"/>
          <w:color w:val="000000" w:themeColor="text1"/>
          <w:sz w:val="18"/>
          <w:szCs w:val="18"/>
        </w:rPr>
        <w:t>with its different soci</w:t>
      </w:r>
      <w:r w:rsidRPr="00C234FB">
        <w:rPr>
          <w:rFonts w:ascii="Verdana"/>
          <w:color w:val="000000" w:themeColor="text1"/>
          <w:sz w:val="18"/>
          <w:szCs w:val="18"/>
        </w:rPr>
        <w:t>al, cultural, intellectual, geographical and even emotional contexts that shaped people</w:t>
      </w:r>
      <w:r w:rsidRPr="00C234FB">
        <w:rPr>
          <w:rFonts w:hAnsi="Verdana"/>
          <w:color w:val="000000" w:themeColor="text1"/>
          <w:sz w:val="18"/>
          <w:szCs w:val="18"/>
        </w:rPr>
        <w:t>’</w:t>
      </w:r>
      <w:r w:rsidRPr="00C234FB">
        <w:rPr>
          <w:rFonts w:ascii="Verdana"/>
          <w:color w:val="000000" w:themeColor="text1"/>
          <w:sz w:val="18"/>
          <w:szCs w:val="18"/>
        </w:rPr>
        <w:t>s lives and actions, including a sense of place.</w:t>
      </w:r>
      <w:r w:rsidRPr="00C234FB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 xml:space="preserve">Ex: 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 xml:space="preserve">How could William Lyon Mackenzie King (later a Canadian Prime Minister) say </w:t>
      </w:r>
      <w:r w:rsidRPr="00C234FB">
        <w:rPr>
          <w:rFonts w:hAnsi="Verdana"/>
          <w:i/>
          <w:iCs/>
          <w:color w:val="000000" w:themeColor="text1"/>
          <w:sz w:val="18"/>
          <w:szCs w:val="18"/>
          <w:lang w:val="de-DE"/>
        </w:rPr>
        <w:t>“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>that Canada should remain a white man</w:t>
      </w:r>
      <w:r w:rsidRPr="00C234FB">
        <w:rPr>
          <w:rFonts w:hAnsi="Verdana"/>
          <w:i/>
          <w:iCs/>
          <w:color w:val="000000" w:themeColor="text1"/>
          <w:sz w:val="18"/>
          <w:szCs w:val="18"/>
        </w:rPr>
        <w:t>’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>s country.</w:t>
      </w:r>
      <w:r w:rsidRPr="00C234FB">
        <w:rPr>
          <w:rFonts w:hAnsi="Verdana"/>
          <w:i/>
          <w:iCs/>
          <w:color w:val="000000" w:themeColor="text1"/>
          <w:sz w:val="18"/>
          <w:szCs w:val="18"/>
        </w:rPr>
        <w:t>”</w:t>
      </w:r>
      <w:r w:rsidRPr="00C234FB">
        <w:rPr>
          <w:rFonts w:hAnsi="Verdana"/>
          <w:i/>
          <w:iCs/>
          <w:color w:val="000000" w:themeColor="text1"/>
          <w:sz w:val="18"/>
          <w:szCs w:val="18"/>
        </w:rPr>
        <w:t xml:space="preserve"> 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>in 1908?</w:t>
      </w:r>
    </w:p>
    <w:p w14:paraId="0BAC1892" w14:textId="77777777" w:rsidR="00D95513" w:rsidRPr="00C234FB" w:rsidRDefault="004C3814" w:rsidP="00C234FB">
      <w:pPr>
        <w:pStyle w:val="Body"/>
        <w:numPr>
          <w:ilvl w:val="0"/>
          <w:numId w:val="18"/>
        </w:numPr>
        <w:spacing w:after="12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234FB">
        <w:rPr>
          <w:rFonts w:ascii="Verdana"/>
          <w:color w:val="000000" w:themeColor="text1"/>
          <w:sz w:val="22"/>
          <w:szCs w:val="22"/>
        </w:rPr>
        <w:t xml:space="preserve">consider the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</w:rPr>
        <w:t>ethical dimensions</w:t>
      </w:r>
      <w:r w:rsidRPr="00C234FB">
        <w:rPr>
          <w:rFonts w:ascii="Verdana"/>
          <w:color w:val="000000" w:themeColor="text1"/>
          <w:sz w:val="22"/>
          <w:szCs w:val="22"/>
        </w:rPr>
        <w:t xml:space="preserve"> of historical interpretations (or geographic problems) and resulting </w:t>
      </w:r>
      <w:r w:rsidRPr="00C234FB">
        <w:rPr>
          <w:rFonts w:ascii="Verdana"/>
          <w:b/>
          <w:bCs/>
          <w:i/>
          <w:iCs/>
          <w:color w:val="000000" w:themeColor="text1"/>
          <w:sz w:val="22"/>
          <w:szCs w:val="22"/>
        </w:rPr>
        <w:t>value judgements</w:t>
      </w:r>
      <w:r w:rsidRPr="00C234FB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 xml:space="preserve">How we, in the present, judge actors in different circumstances in the past; when and how crimes and sacrifices of the past bear consequences today; what obligations we have today in relation to those consequences. </w:t>
      </w:r>
      <w:r w:rsidRPr="00C234FB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  <w:r w:rsidRPr="00C234FB">
        <w:rPr>
          <w:rFonts w:ascii="Verdana"/>
          <w:color w:val="000000" w:themeColor="text1"/>
          <w:sz w:val="18"/>
          <w:szCs w:val="18"/>
        </w:rPr>
        <w:t xml:space="preserve">Ex: 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>What should be done about the poor l</w:t>
      </w:r>
      <w:r w:rsidRPr="00C234FB">
        <w:rPr>
          <w:rFonts w:ascii="Verdana"/>
          <w:i/>
          <w:iCs/>
          <w:color w:val="000000" w:themeColor="text1"/>
          <w:sz w:val="18"/>
          <w:szCs w:val="18"/>
        </w:rPr>
        <w:t>iving conditions on some Aboriginal Reserves?</w:t>
      </w:r>
    </w:p>
    <w:p w14:paraId="643756A1" w14:textId="77777777" w:rsidR="00C234FB" w:rsidRDefault="00C234FB">
      <w:pPr>
        <w:pStyle w:val="Body"/>
        <w:spacing w:after="120"/>
        <w:rPr>
          <w:rFonts w:ascii="Verdana"/>
          <w:color w:val="000000" w:themeColor="text1"/>
          <w:sz w:val="14"/>
          <w:szCs w:val="14"/>
        </w:rPr>
      </w:pPr>
    </w:p>
    <w:p w14:paraId="3A03442B" w14:textId="77777777" w:rsidR="00D95513" w:rsidRPr="00C234FB" w:rsidRDefault="004C3814">
      <w:pPr>
        <w:pStyle w:val="Body"/>
        <w:spacing w:after="120"/>
        <w:rPr>
          <w:rFonts w:ascii="Verdana" w:eastAsia="Verdana" w:hAnsi="Verdana" w:cs="Verdana"/>
          <w:color w:val="000000" w:themeColor="text1"/>
          <w:sz w:val="14"/>
          <w:szCs w:val="14"/>
        </w:rPr>
      </w:pPr>
      <w:r w:rsidRPr="00C234FB">
        <w:rPr>
          <w:rFonts w:ascii="Verdana"/>
          <w:color w:val="000000" w:themeColor="text1"/>
          <w:sz w:val="14"/>
          <w:szCs w:val="14"/>
        </w:rPr>
        <w:t xml:space="preserve">Historical thinking concepts adapted from: Peter Seixas, Lindsay Gibson, and Kadriye Ercikan (2015). A Design Process for Assessing </w:t>
      </w:r>
      <w:r w:rsidRPr="00C234FB">
        <w:rPr>
          <w:rFonts w:ascii="Verdana"/>
          <w:color w:val="000000" w:themeColor="text1"/>
          <w:sz w:val="14"/>
          <w:szCs w:val="14"/>
        </w:rPr>
        <w:t xml:space="preserve">Historical Thinking in Kadriye Ercikan and Peter Seixas (Eds.), </w:t>
      </w:r>
      <w:r w:rsidRPr="00C234FB">
        <w:rPr>
          <w:rFonts w:ascii="Verdana"/>
          <w:i/>
          <w:iCs/>
          <w:color w:val="000000" w:themeColor="text1"/>
          <w:sz w:val="14"/>
          <w:szCs w:val="14"/>
        </w:rPr>
        <w:t>New Direction</w:t>
      </w:r>
      <w:r w:rsidRPr="00C234FB">
        <w:rPr>
          <w:rFonts w:ascii="Verdana"/>
          <w:i/>
          <w:iCs/>
          <w:color w:val="000000" w:themeColor="text1"/>
          <w:sz w:val="14"/>
          <w:szCs w:val="14"/>
        </w:rPr>
        <w:t>s in Assessing Historical Thinking</w:t>
      </w:r>
      <w:r w:rsidRPr="00C234FB">
        <w:rPr>
          <w:rFonts w:ascii="Verdana"/>
          <w:color w:val="000000" w:themeColor="text1"/>
          <w:sz w:val="14"/>
          <w:szCs w:val="14"/>
        </w:rPr>
        <w:t xml:space="preserve"> (pp. 102-103). New York, NY: Routledge.</w:t>
      </w:r>
    </w:p>
    <w:p w14:paraId="2A5AEBC1" w14:textId="77777777" w:rsidR="00D95513" w:rsidRPr="00C234FB" w:rsidRDefault="004C3814">
      <w:pPr>
        <w:pStyle w:val="Body"/>
        <w:spacing w:after="120"/>
        <w:rPr>
          <w:rFonts w:ascii="Verdana" w:eastAsia="Verdana" w:hAnsi="Verdana" w:cs="Verdana"/>
          <w:color w:val="000000" w:themeColor="text1"/>
          <w:sz w:val="14"/>
          <w:szCs w:val="14"/>
        </w:rPr>
      </w:pPr>
      <w:r w:rsidRPr="00C234FB">
        <w:rPr>
          <w:rFonts w:ascii="Verdana"/>
          <w:color w:val="000000" w:themeColor="text1"/>
          <w:sz w:val="14"/>
          <w:szCs w:val="14"/>
        </w:rPr>
        <w:t>Source for geographic thinking concepts: Kamilla Bahbahani, Niem Tu Huynh, Roland Case (ed), and Bob Sharpe (ed) (2008). Teaching About Geographical Thinking (pp. 3-8). Vancouver, B</w:t>
      </w:r>
      <w:r w:rsidRPr="00C234FB">
        <w:rPr>
          <w:rFonts w:ascii="Verdana"/>
          <w:color w:val="000000" w:themeColor="text1"/>
          <w:sz w:val="14"/>
          <w:szCs w:val="14"/>
        </w:rPr>
        <w:t>C: The Critical Thinking Consortium.</w:t>
      </w:r>
    </w:p>
    <w:p w14:paraId="7D13258C" w14:textId="77777777" w:rsidR="00D95513" w:rsidRPr="00C234FB" w:rsidRDefault="004C3814">
      <w:pPr>
        <w:pStyle w:val="Body"/>
        <w:spacing w:after="120"/>
        <w:rPr>
          <w:rFonts w:ascii="Verdana" w:eastAsia="Verdana" w:hAnsi="Verdana" w:cs="Verdana"/>
          <w:color w:val="000000" w:themeColor="text1"/>
          <w:sz w:val="14"/>
          <w:szCs w:val="14"/>
        </w:rPr>
      </w:pPr>
      <w:r w:rsidRPr="00C234FB">
        <w:rPr>
          <w:rFonts w:ascii="Verdana"/>
          <w:color w:val="000000" w:themeColor="text1"/>
          <w:sz w:val="14"/>
          <w:szCs w:val="14"/>
        </w:rPr>
        <w:t>Source for curricular comp</w:t>
      </w:r>
      <w:r w:rsidR="00C234FB">
        <w:rPr>
          <w:rFonts w:ascii="Verdana"/>
          <w:color w:val="000000" w:themeColor="text1"/>
          <w:sz w:val="14"/>
          <w:szCs w:val="14"/>
        </w:rPr>
        <w:t>e</w:t>
      </w:r>
      <w:bookmarkStart w:id="0" w:name="_GoBack"/>
      <w:bookmarkEnd w:id="0"/>
      <w:r w:rsidRPr="00C234FB">
        <w:rPr>
          <w:rFonts w:ascii="Verdana"/>
          <w:color w:val="000000" w:themeColor="text1"/>
          <w:sz w:val="14"/>
          <w:szCs w:val="14"/>
        </w:rPr>
        <w:t xml:space="preserve">tencies: BC Ministry of Education. </w:t>
      </w:r>
      <w:r w:rsidRPr="00C234FB">
        <w:rPr>
          <w:rFonts w:hAnsi="Verdana"/>
          <w:color w:val="000000" w:themeColor="text1"/>
          <w:sz w:val="14"/>
          <w:szCs w:val="14"/>
        </w:rPr>
        <w:t>“</w:t>
      </w:r>
      <w:r w:rsidRPr="00C234FB">
        <w:rPr>
          <w:rFonts w:ascii="Verdana"/>
          <w:color w:val="000000" w:themeColor="text1"/>
          <w:sz w:val="14"/>
          <w:szCs w:val="14"/>
        </w:rPr>
        <w:t>BC</w:t>
      </w:r>
      <w:r w:rsidRPr="00C234FB">
        <w:rPr>
          <w:rFonts w:hAnsi="Verdana"/>
          <w:color w:val="000000" w:themeColor="text1"/>
          <w:sz w:val="14"/>
          <w:szCs w:val="14"/>
        </w:rPr>
        <w:t>’</w:t>
      </w:r>
      <w:r w:rsidRPr="00C234FB">
        <w:rPr>
          <w:rFonts w:ascii="Verdana"/>
          <w:color w:val="000000" w:themeColor="text1"/>
          <w:sz w:val="14"/>
          <w:szCs w:val="14"/>
        </w:rPr>
        <w:t>s New Curriculum: Building Student Success.</w:t>
      </w:r>
      <w:r w:rsidRPr="00C234FB">
        <w:rPr>
          <w:rFonts w:hAnsi="Verdana"/>
          <w:color w:val="000000" w:themeColor="text1"/>
          <w:sz w:val="14"/>
          <w:szCs w:val="14"/>
        </w:rPr>
        <w:t>”</w:t>
      </w:r>
      <w:r w:rsidRPr="00C234FB">
        <w:rPr>
          <w:rFonts w:hAnsi="Verdana"/>
          <w:color w:val="000000" w:themeColor="text1"/>
          <w:sz w:val="14"/>
          <w:szCs w:val="14"/>
        </w:rPr>
        <w:t xml:space="preserve"> </w:t>
      </w:r>
      <w:r w:rsidRPr="00C234FB">
        <w:rPr>
          <w:rFonts w:ascii="Verdana"/>
          <w:color w:val="000000" w:themeColor="text1"/>
          <w:sz w:val="14"/>
          <w:szCs w:val="14"/>
        </w:rPr>
        <w:t xml:space="preserve">(2016). Retrieved Apr 27, 2016 </w:t>
      </w:r>
      <w:hyperlink r:id="rId8" w:history="1">
        <w:r w:rsidRPr="00C234FB">
          <w:rPr>
            <w:rStyle w:val="Hyperlink0"/>
            <w:rFonts w:ascii="Verdana"/>
            <w:color w:val="000000" w:themeColor="text1"/>
          </w:rPr>
          <w:t>https://curriculum.gov.bc.ca/curriculum</w:t>
        </w:r>
      </w:hyperlink>
      <w:r w:rsidRPr="00C234FB">
        <w:rPr>
          <w:rFonts w:ascii="Verdana"/>
          <w:color w:val="000000" w:themeColor="text1"/>
          <w:sz w:val="14"/>
          <w:szCs w:val="14"/>
        </w:rPr>
        <w:t>.</w:t>
      </w:r>
    </w:p>
    <w:p w14:paraId="62947547" w14:textId="77777777" w:rsidR="00D95513" w:rsidRDefault="004C3814" w:rsidP="00C234FB">
      <w:pPr>
        <w:pStyle w:val="Footnote"/>
        <w:rPr>
          <w:rFonts w:ascii="Verdana"/>
          <w:color w:val="000000" w:themeColor="text1"/>
          <w:sz w:val="14"/>
          <w:szCs w:val="14"/>
        </w:rPr>
      </w:pPr>
      <w:r w:rsidRPr="00C234FB">
        <w:rPr>
          <w:rFonts w:ascii="Verdana"/>
          <w:color w:val="000000" w:themeColor="text1"/>
          <w:sz w:val="14"/>
          <w:szCs w:val="14"/>
        </w:rPr>
        <w:t xml:space="preserve">Other references: see </w:t>
      </w:r>
      <w:hyperlink r:id="rId9" w:history="1">
        <w:r w:rsidRPr="00C234FB">
          <w:rPr>
            <w:rStyle w:val="Hyperlink0"/>
            <w:rFonts w:ascii="Verdana"/>
            <w:color w:val="000000" w:themeColor="text1"/>
          </w:rPr>
          <w:t>http://www.thielmann.ca/new-bc-curriculum.html</w:t>
        </w:r>
      </w:hyperlink>
      <w:r w:rsidRPr="00C234FB">
        <w:rPr>
          <w:rFonts w:ascii="Verdana"/>
          <w:color w:val="000000" w:themeColor="text1"/>
          <w:sz w:val="14"/>
          <w:szCs w:val="14"/>
        </w:rPr>
        <w:t>.</w:t>
      </w:r>
    </w:p>
    <w:p w14:paraId="746403B9" w14:textId="77777777" w:rsidR="00C234FB" w:rsidRPr="00C234FB" w:rsidRDefault="00C234FB" w:rsidP="00C234FB">
      <w:pPr>
        <w:pStyle w:val="Footnote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3BEFD5BB" w14:textId="77777777" w:rsidR="00D95513" w:rsidRPr="00C234FB" w:rsidRDefault="004C381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 w:themeColor="text1"/>
        </w:rPr>
      </w:pPr>
      <w:r w:rsidRPr="00C234FB">
        <w:rPr>
          <w:rFonts w:ascii="Verdana" w:eastAsia="Verdana" w:hAnsi="Verdana" w:cs="Verdana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6B930336" wp14:editId="01EF2F46">
            <wp:extent cx="1003572" cy="35353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88x3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572" cy="353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D95513" w:rsidRPr="00C234FB">
      <w:footerReference w:type="default" r:id="rId10"/>
      <w:pgSz w:w="12240" w:h="15840"/>
      <w:pgMar w:top="850" w:right="1134" w:bottom="1134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2CAE0" w14:textId="77777777" w:rsidR="004C3814" w:rsidRDefault="004C3814">
      <w:r>
        <w:separator/>
      </w:r>
    </w:p>
  </w:endnote>
  <w:endnote w:type="continuationSeparator" w:id="0">
    <w:p w14:paraId="16F1454B" w14:textId="77777777" w:rsidR="004C3814" w:rsidRDefault="004C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C107" w14:textId="77777777" w:rsidR="00D95513" w:rsidRPr="00C234FB" w:rsidRDefault="004C3814">
    <w:pPr>
      <w:pStyle w:val="HeaderFooter"/>
      <w:jc w:val="center"/>
      <w:rPr>
        <w:color w:val="000000" w:themeColor="text1"/>
      </w:rPr>
    </w:pPr>
    <w:r w:rsidRPr="00C234FB">
      <w:rPr>
        <w:rFonts w:ascii="Verdana"/>
        <w:b/>
        <w:bCs/>
        <w:i/>
        <w:iCs/>
        <w:color w:val="000000" w:themeColor="text1"/>
        <w:sz w:val="16"/>
        <w:szCs w:val="16"/>
      </w:rPr>
      <w:t>Glen Thielmann for the Pacific Slope Consortium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1DF93" w14:textId="77777777" w:rsidR="004C3814" w:rsidRDefault="004C3814">
      <w:r>
        <w:separator/>
      </w:r>
    </w:p>
  </w:footnote>
  <w:footnote w:type="continuationSeparator" w:id="0">
    <w:p w14:paraId="23E65299" w14:textId="77777777" w:rsidR="004C3814" w:rsidRDefault="004C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B38"/>
    <w:multiLevelType w:val="hybridMultilevel"/>
    <w:tmpl w:val="4786338C"/>
    <w:lvl w:ilvl="0" w:tplc="7408C2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041A"/>
    <w:multiLevelType w:val="hybridMultilevel"/>
    <w:tmpl w:val="1DF485A0"/>
    <w:lvl w:ilvl="0" w:tplc="0278FAE0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DBA"/>
    <w:multiLevelType w:val="hybridMultilevel"/>
    <w:tmpl w:val="7C14722C"/>
    <w:lvl w:ilvl="0" w:tplc="F48E9ACC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0E4B0C1B"/>
    <w:multiLevelType w:val="hybridMultilevel"/>
    <w:tmpl w:val="2952776E"/>
    <w:lvl w:ilvl="0" w:tplc="040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19103800"/>
    <w:multiLevelType w:val="multilevel"/>
    <w:tmpl w:val="4E9E62D2"/>
    <w:lvl w:ilvl="0">
      <w:start w:val="1"/>
      <w:numFmt w:val="bullet"/>
      <w:lvlText w:val="‣"/>
      <w:lvlJc w:val="left"/>
      <w:pPr>
        <w:tabs>
          <w:tab w:val="num" w:pos="198"/>
        </w:tabs>
        <w:ind w:left="198" w:hanging="17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bullet"/>
      <w:lvlText w:val="‣"/>
      <w:lvlJc w:val="left"/>
      <w:pPr>
        <w:tabs>
          <w:tab w:val="num" w:pos="539"/>
        </w:tabs>
        <w:ind w:left="369" w:hanging="17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bullet"/>
      <w:lvlText w:val="‣"/>
      <w:lvlJc w:val="left"/>
      <w:pPr>
        <w:tabs>
          <w:tab w:val="num" w:pos="879"/>
        </w:tabs>
        <w:ind w:left="539" w:hanging="17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bullet"/>
      <w:lvlText w:val="‣"/>
      <w:lvlJc w:val="left"/>
      <w:pPr>
        <w:tabs>
          <w:tab w:val="num" w:pos="1219"/>
        </w:tabs>
        <w:ind w:left="709" w:hanging="17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bullet"/>
      <w:lvlText w:val="‣"/>
      <w:lvlJc w:val="left"/>
      <w:pPr>
        <w:tabs>
          <w:tab w:val="num" w:pos="1559"/>
        </w:tabs>
        <w:ind w:left="879" w:hanging="17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bullet"/>
      <w:lvlText w:val="‣"/>
      <w:lvlJc w:val="left"/>
      <w:pPr>
        <w:tabs>
          <w:tab w:val="num" w:pos="1899"/>
        </w:tabs>
        <w:ind w:left="1049" w:hanging="17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bullet"/>
      <w:lvlText w:val="‣"/>
      <w:lvlJc w:val="left"/>
      <w:pPr>
        <w:tabs>
          <w:tab w:val="num" w:pos="2239"/>
        </w:tabs>
        <w:ind w:left="1219" w:hanging="17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bullet"/>
      <w:lvlText w:val="‣"/>
      <w:lvlJc w:val="left"/>
      <w:pPr>
        <w:tabs>
          <w:tab w:val="num" w:pos="2580"/>
        </w:tabs>
        <w:ind w:left="1389" w:hanging="17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bullet"/>
      <w:lvlText w:val="‣"/>
      <w:lvlJc w:val="left"/>
      <w:pPr>
        <w:tabs>
          <w:tab w:val="num" w:pos="2920"/>
        </w:tabs>
        <w:ind w:left="1559" w:hanging="17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5">
    <w:nsid w:val="28323696"/>
    <w:multiLevelType w:val="multilevel"/>
    <w:tmpl w:val="91E8FC16"/>
    <w:lvl w:ilvl="0">
      <w:numFmt w:val="bullet"/>
      <w:lvlText w:val="‣"/>
      <w:lvlJc w:val="left"/>
      <w:pPr>
        <w:tabs>
          <w:tab w:val="num" w:pos="198"/>
        </w:tabs>
        <w:ind w:left="198" w:hanging="17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bullet"/>
      <w:lvlText w:val="‣"/>
      <w:lvlJc w:val="left"/>
      <w:pPr>
        <w:tabs>
          <w:tab w:val="num" w:pos="539"/>
        </w:tabs>
        <w:ind w:left="369" w:hanging="17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bullet"/>
      <w:lvlText w:val="‣"/>
      <w:lvlJc w:val="left"/>
      <w:pPr>
        <w:tabs>
          <w:tab w:val="num" w:pos="879"/>
        </w:tabs>
        <w:ind w:left="539" w:hanging="17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bullet"/>
      <w:lvlText w:val="‣"/>
      <w:lvlJc w:val="left"/>
      <w:pPr>
        <w:tabs>
          <w:tab w:val="num" w:pos="1219"/>
        </w:tabs>
        <w:ind w:left="709" w:hanging="17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bullet"/>
      <w:lvlText w:val="‣"/>
      <w:lvlJc w:val="left"/>
      <w:pPr>
        <w:tabs>
          <w:tab w:val="num" w:pos="1559"/>
        </w:tabs>
        <w:ind w:left="879" w:hanging="17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bullet"/>
      <w:lvlText w:val="‣"/>
      <w:lvlJc w:val="left"/>
      <w:pPr>
        <w:tabs>
          <w:tab w:val="num" w:pos="1899"/>
        </w:tabs>
        <w:ind w:left="1049" w:hanging="17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bullet"/>
      <w:lvlText w:val="‣"/>
      <w:lvlJc w:val="left"/>
      <w:pPr>
        <w:tabs>
          <w:tab w:val="num" w:pos="2239"/>
        </w:tabs>
        <w:ind w:left="1219" w:hanging="17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bullet"/>
      <w:lvlText w:val="‣"/>
      <w:lvlJc w:val="left"/>
      <w:pPr>
        <w:tabs>
          <w:tab w:val="num" w:pos="2580"/>
        </w:tabs>
        <w:ind w:left="1389" w:hanging="17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bullet"/>
      <w:lvlText w:val="‣"/>
      <w:lvlJc w:val="left"/>
      <w:pPr>
        <w:tabs>
          <w:tab w:val="num" w:pos="2920"/>
        </w:tabs>
        <w:ind w:left="1559" w:hanging="17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6">
    <w:nsid w:val="2C51634F"/>
    <w:multiLevelType w:val="multilevel"/>
    <w:tmpl w:val="21CE5352"/>
    <w:lvl w:ilvl="0">
      <w:numFmt w:val="bullet"/>
      <w:lvlText w:val="‣"/>
      <w:lvlJc w:val="left"/>
      <w:pPr>
        <w:tabs>
          <w:tab w:val="num" w:pos="198"/>
        </w:tabs>
        <w:ind w:left="198" w:hanging="17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bullet"/>
      <w:lvlText w:val="‣"/>
      <w:lvlJc w:val="left"/>
      <w:pPr>
        <w:tabs>
          <w:tab w:val="num" w:pos="539"/>
        </w:tabs>
        <w:ind w:left="369" w:hanging="17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bullet"/>
      <w:lvlText w:val="‣"/>
      <w:lvlJc w:val="left"/>
      <w:pPr>
        <w:tabs>
          <w:tab w:val="num" w:pos="879"/>
        </w:tabs>
        <w:ind w:left="539" w:hanging="17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bullet"/>
      <w:lvlText w:val="‣"/>
      <w:lvlJc w:val="left"/>
      <w:pPr>
        <w:tabs>
          <w:tab w:val="num" w:pos="1219"/>
        </w:tabs>
        <w:ind w:left="709" w:hanging="17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bullet"/>
      <w:lvlText w:val="‣"/>
      <w:lvlJc w:val="left"/>
      <w:pPr>
        <w:tabs>
          <w:tab w:val="num" w:pos="1559"/>
        </w:tabs>
        <w:ind w:left="879" w:hanging="17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bullet"/>
      <w:lvlText w:val="‣"/>
      <w:lvlJc w:val="left"/>
      <w:pPr>
        <w:tabs>
          <w:tab w:val="num" w:pos="1899"/>
        </w:tabs>
        <w:ind w:left="1049" w:hanging="17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bullet"/>
      <w:lvlText w:val="‣"/>
      <w:lvlJc w:val="left"/>
      <w:pPr>
        <w:tabs>
          <w:tab w:val="num" w:pos="2239"/>
        </w:tabs>
        <w:ind w:left="1219" w:hanging="17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bullet"/>
      <w:lvlText w:val="‣"/>
      <w:lvlJc w:val="left"/>
      <w:pPr>
        <w:tabs>
          <w:tab w:val="num" w:pos="2580"/>
        </w:tabs>
        <w:ind w:left="1389" w:hanging="17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bullet"/>
      <w:lvlText w:val="‣"/>
      <w:lvlJc w:val="left"/>
      <w:pPr>
        <w:tabs>
          <w:tab w:val="num" w:pos="2920"/>
        </w:tabs>
        <w:ind w:left="1559" w:hanging="17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7">
    <w:nsid w:val="2E715BE1"/>
    <w:multiLevelType w:val="multilevel"/>
    <w:tmpl w:val="0C821A56"/>
    <w:lvl w:ilvl="0">
      <w:numFmt w:val="bullet"/>
      <w:lvlText w:val="‣"/>
      <w:lvlJc w:val="left"/>
      <w:pPr>
        <w:tabs>
          <w:tab w:val="num" w:pos="198"/>
        </w:tabs>
        <w:ind w:left="198" w:hanging="17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bullet"/>
      <w:lvlText w:val="‣"/>
      <w:lvlJc w:val="left"/>
      <w:pPr>
        <w:tabs>
          <w:tab w:val="num" w:pos="539"/>
        </w:tabs>
        <w:ind w:left="369" w:hanging="17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bullet"/>
      <w:lvlText w:val="‣"/>
      <w:lvlJc w:val="left"/>
      <w:pPr>
        <w:tabs>
          <w:tab w:val="num" w:pos="879"/>
        </w:tabs>
        <w:ind w:left="539" w:hanging="17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bullet"/>
      <w:lvlText w:val="‣"/>
      <w:lvlJc w:val="left"/>
      <w:pPr>
        <w:tabs>
          <w:tab w:val="num" w:pos="1219"/>
        </w:tabs>
        <w:ind w:left="709" w:hanging="17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bullet"/>
      <w:lvlText w:val="‣"/>
      <w:lvlJc w:val="left"/>
      <w:pPr>
        <w:tabs>
          <w:tab w:val="num" w:pos="1559"/>
        </w:tabs>
        <w:ind w:left="879" w:hanging="17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bullet"/>
      <w:lvlText w:val="‣"/>
      <w:lvlJc w:val="left"/>
      <w:pPr>
        <w:tabs>
          <w:tab w:val="num" w:pos="1899"/>
        </w:tabs>
        <w:ind w:left="1049" w:hanging="17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bullet"/>
      <w:lvlText w:val="‣"/>
      <w:lvlJc w:val="left"/>
      <w:pPr>
        <w:tabs>
          <w:tab w:val="num" w:pos="2239"/>
        </w:tabs>
        <w:ind w:left="1219" w:hanging="17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bullet"/>
      <w:lvlText w:val="‣"/>
      <w:lvlJc w:val="left"/>
      <w:pPr>
        <w:tabs>
          <w:tab w:val="num" w:pos="2580"/>
        </w:tabs>
        <w:ind w:left="1389" w:hanging="17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bullet"/>
      <w:lvlText w:val="‣"/>
      <w:lvlJc w:val="left"/>
      <w:pPr>
        <w:tabs>
          <w:tab w:val="num" w:pos="2920"/>
        </w:tabs>
        <w:ind w:left="1559" w:hanging="17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8">
    <w:nsid w:val="3EC6783D"/>
    <w:multiLevelType w:val="multilevel"/>
    <w:tmpl w:val="044E6E48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42EF1316"/>
    <w:multiLevelType w:val="multilevel"/>
    <w:tmpl w:val="BF521E60"/>
    <w:lvl w:ilvl="0">
      <w:numFmt w:val="bullet"/>
      <w:lvlText w:val="‣"/>
      <w:lvlJc w:val="left"/>
      <w:pPr>
        <w:tabs>
          <w:tab w:val="num" w:pos="198"/>
        </w:tabs>
        <w:ind w:left="198" w:hanging="17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bullet"/>
      <w:lvlText w:val="‣"/>
      <w:lvlJc w:val="left"/>
      <w:pPr>
        <w:tabs>
          <w:tab w:val="num" w:pos="539"/>
        </w:tabs>
        <w:ind w:left="369" w:hanging="17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bullet"/>
      <w:lvlText w:val="‣"/>
      <w:lvlJc w:val="left"/>
      <w:pPr>
        <w:tabs>
          <w:tab w:val="num" w:pos="879"/>
        </w:tabs>
        <w:ind w:left="539" w:hanging="17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bullet"/>
      <w:lvlText w:val="‣"/>
      <w:lvlJc w:val="left"/>
      <w:pPr>
        <w:tabs>
          <w:tab w:val="num" w:pos="1219"/>
        </w:tabs>
        <w:ind w:left="709" w:hanging="17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bullet"/>
      <w:lvlText w:val="‣"/>
      <w:lvlJc w:val="left"/>
      <w:pPr>
        <w:tabs>
          <w:tab w:val="num" w:pos="1559"/>
        </w:tabs>
        <w:ind w:left="879" w:hanging="17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bullet"/>
      <w:lvlText w:val="‣"/>
      <w:lvlJc w:val="left"/>
      <w:pPr>
        <w:tabs>
          <w:tab w:val="num" w:pos="1899"/>
        </w:tabs>
        <w:ind w:left="1049" w:hanging="17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bullet"/>
      <w:lvlText w:val="‣"/>
      <w:lvlJc w:val="left"/>
      <w:pPr>
        <w:tabs>
          <w:tab w:val="num" w:pos="2239"/>
        </w:tabs>
        <w:ind w:left="1219" w:hanging="17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bullet"/>
      <w:lvlText w:val="‣"/>
      <w:lvlJc w:val="left"/>
      <w:pPr>
        <w:tabs>
          <w:tab w:val="num" w:pos="2580"/>
        </w:tabs>
        <w:ind w:left="1389" w:hanging="17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bullet"/>
      <w:lvlText w:val="‣"/>
      <w:lvlJc w:val="left"/>
      <w:pPr>
        <w:tabs>
          <w:tab w:val="num" w:pos="2920"/>
        </w:tabs>
        <w:ind w:left="1559" w:hanging="17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0">
    <w:nsid w:val="476831F6"/>
    <w:multiLevelType w:val="hybridMultilevel"/>
    <w:tmpl w:val="E2845CF8"/>
    <w:lvl w:ilvl="0" w:tplc="B6C8A4A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55D71"/>
    <w:multiLevelType w:val="multilevel"/>
    <w:tmpl w:val="020CF710"/>
    <w:lvl w:ilvl="0">
      <w:numFmt w:val="bullet"/>
      <w:lvlText w:val="‣"/>
      <w:lvlJc w:val="left"/>
      <w:pPr>
        <w:tabs>
          <w:tab w:val="num" w:pos="198"/>
        </w:tabs>
        <w:ind w:left="198" w:hanging="17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bullet"/>
      <w:lvlText w:val="‣"/>
      <w:lvlJc w:val="left"/>
      <w:pPr>
        <w:tabs>
          <w:tab w:val="num" w:pos="539"/>
        </w:tabs>
        <w:ind w:left="369" w:hanging="17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bullet"/>
      <w:lvlText w:val="‣"/>
      <w:lvlJc w:val="left"/>
      <w:pPr>
        <w:tabs>
          <w:tab w:val="num" w:pos="879"/>
        </w:tabs>
        <w:ind w:left="539" w:hanging="17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bullet"/>
      <w:lvlText w:val="‣"/>
      <w:lvlJc w:val="left"/>
      <w:pPr>
        <w:tabs>
          <w:tab w:val="num" w:pos="1219"/>
        </w:tabs>
        <w:ind w:left="709" w:hanging="17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bullet"/>
      <w:lvlText w:val="‣"/>
      <w:lvlJc w:val="left"/>
      <w:pPr>
        <w:tabs>
          <w:tab w:val="num" w:pos="1559"/>
        </w:tabs>
        <w:ind w:left="879" w:hanging="17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bullet"/>
      <w:lvlText w:val="‣"/>
      <w:lvlJc w:val="left"/>
      <w:pPr>
        <w:tabs>
          <w:tab w:val="num" w:pos="1899"/>
        </w:tabs>
        <w:ind w:left="1049" w:hanging="17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bullet"/>
      <w:lvlText w:val="‣"/>
      <w:lvlJc w:val="left"/>
      <w:pPr>
        <w:tabs>
          <w:tab w:val="num" w:pos="2239"/>
        </w:tabs>
        <w:ind w:left="1219" w:hanging="17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bullet"/>
      <w:lvlText w:val="‣"/>
      <w:lvlJc w:val="left"/>
      <w:pPr>
        <w:tabs>
          <w:tab w:val="num" w:pos="2580"/>
        </w:tabs>
        <w:ind w:left="1389" w:hanging="17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bullet"/>
      <w:lvlText w:val="‣"/>
      <w:lvlJc w:val="left"/>
      <w:pPr>
        <w:tabs>
          <w:tab w:val="num" w:pos="2920"/>
        </w:tabs>
        <w:ind w:left="1559" w:hanging="17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2">
    <w:nsid w:val="5DA12731"/>
    <w:multiLevelType w:val="multilevel"/>
    <w:tmpl w:val="771277DC"/>
    <w:styleLink w:val="List0"/>
    <w:lvl w:ilvl="0">
      <w:numFmt w:val="bullet"/>
      <w:lvlText w:val="‣"/>
      <w:lvlJc w:val="left"/>
      <w:pPr>
        <w:tabs>
          <w:tab w:val="num" w:pos="198"/>
        </w:tabs>
        <w:ind w:left="198" w:hanging="17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bullet"/>
      <w:lvlText w:val="‣"/>
      <w:lvlJc w:val="left"/>
      <w:pPr>
        <w:tabs>
          <w:tab w:val="num" w:pos="539"/>
        </w:tabs>
        <w:ind w:left="369" w:hanging="17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bullet"/>
      <w:lvlText w:val="‣"/>
      <w:lvlJc w:val="left"/>
      <w:pPr>
        <w:tabs>
          <w:tab w:val="num" w:pos="879"/>
        </w:tabs>
        <w:ind w:left="539" w:hanging="17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bullet"/>
      <w:lvlText w:val="‣"/>
      <w:lvlJc w:val="left"/>
      <w:pPr>
        <w:tabs>
          <w:tab w:val="num" w:pos="1219"/>
        </w:tabs>
        <w:ind w:left="709" w:hanging="17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bullet"/>
      <w:lvlText w:val="‣"/>
      <w:lvlJc w:val="left"/>
      <w:pPr>
        <w:tabs>
          <w:tab w:val="num" w:pos="1559"/>
        </w:tabs>
        <w:ind w:left="879" w:hanging="17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bullet"/>
      <w:lvlText w:val="‣"/>
      <w:lvlJc w:val="left"/>
      <w:pPr>
        <w:tabs>
          <w:tab w:val="num" w:pos="1899"/>
        </w:tabs>
        <w:ind w:left="1049" w:hanging="17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bullet"/>
      <w:lvlText w:val="‣"/>
      <w:lvlJc w:val="left"/>
      <w:pPr>
        <w:tabs>
          <w:tab w:val="num" w:pos="2239"/>
        </w:tabs>
        <w:ind w:left="1219" w:hanging="17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bullet"/>
      <w:lvlText w:val="‣"/>
      <w:lvlJc w:val="left"/>
      <w:pPr>
        <w:tabs>
          <w:tab w:val="num" w:pos="2580"/>
        </w:tabs>
        <w:ind w:left="1389" w:hanging="17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bullet"/>
      <w:lvlText w:val="‣"/>
      <w:lvlJc w:val="left"/>
      <w:pPr>
        <w:tabs>
          <w:tab w:val="num" w:pos="2920"/>
        </w:tabs>
        <w:ind w:left="1559" w:hanging="17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3">
    <w:nsid w:val="5FF3442D"/>
    <w:multiLevelType w:val="multilevel"/>
    <w:tmpl w:val="4DD4401C"/>
    <w:lvl w:ilvl="0">
      <w:numFmt w:val="bullet"/>
      <w:lvlText w:val="‣"/>
      <w:lvlJc w:val="left"/>
      <w:pPr>
        <w:tabs>
          <w:tab w:val="num" w:pos="198"/>
        </w:tabs>
        <w:ind w:left="198" w:hanging="17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bullet"/>
      <w:lvlText w:val="‣"/>
      <w:lvlJc w:val="left"/>
      <w:pPr>
        <w:tabs>
          <w:tab w:val="num" w:pos="539"/>
        </w:tabs>
        <w:ind w:left="369" w:hanging="17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bullet"/>
      <w:lvlText w:val="‣"/>
      <w:lvlJc w:val="left"/>
      <w:pPr>
        <w:tabs>
          <w:tab w:val="num" w:pos="879"/>
        </w:tabs>
        <w:ind w:left="539" w:hanging="17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bullet"/>
      <w:lvlText w:val="‣"/>
      <w:lvlJc w:val="left"/>
      <w:pPr>
        <w:tabs>
          <w:tab w:val="num" w:pos="1219"/>
        </w:tabs>
        <w:ind w:left="709" w:hanging="17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bullet"/>
      <w:lvlText w:val="‣"/>
      <w:lvlJc w:val="left"/>
      <w:pPr>
        <w:tabs>
          <w:tab w:val="num" w:pos="1559"/>
        </w:tabs>
        <w:ind w:left="879" w:hanging="17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bullet"/>
      <w:lvlText w:val="‣"/>
      <w:lvlJc w:val="left"/>
      <w:pPr>
        <w:tabs>
          <w:tab w:val="num" w:pos="1899"/>
        </w:tabs>
        <w:ind w:left="1049" w:hanging="17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bullet"/>
      <w:lvlText w:val="‣"/>
      <w:lvlJc w:val="left"/>
      <w:pPr>
        <w:tabs>
          <w:tab w:val="num" w:pos="2239"/>
        </w:tabs>
        <w:ind w:left="1219" w:hanging="17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bullet"/>
      <w:lvlText w:val="‣"/>
      <w:lvlJc w:val="left"/>
      <w:pPr>
        <w:tabs>
          <w:tab w:val="num" w:pos="2580"/>
        </w:tabs>
        <w:ind w:left="1389" w:hanging="17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bullet"/>
      <w:lvlText w:val="‣"/>
      <w:lvlJc w:val="left"/>
      <w:pPr>
        <w:tabs>
          <w:tab w:val="num" w:pos="2920"/>
        </w:tabs>
        <w:ind w:left="1559" w:hanging="17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4">
    <w:nsid w:val="6BD809D2"/>
    <w:multiLevelType w:val="multilevel"/>
    <w:tmpl w:val="DD0474E2"/>
    <w:lvl w:ilvl="0">
      <w:numFmt w:val="bullet"/>
      <w:lvlText w:val="‣"/>
      <w:lvlJc w:val="left"/>
      <w:pPr>
        <w:tabs>
          <w:tab w:val="num" w:pos="198"/>
        </w:tabs>
        <w:ind w:left="198" w:hanging="17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bullet"/>
      <w:lvlText w:val="‣"/>
      <w:lvlJc w:val="left"/>
      <w:pPr>
        <w:tabs>
          <w:tab w:val="num" w:pos="539"/>
        </w:tabs>
        <w:ind w:left="369" w:hanging="17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bullet"/>
      <w:lvlText w:val="‣"/>
      <w:lvlJc w:val="left"/>
      <w:pPr>
        <w:tabs>
          <w:tab w:val="num" w:pos="879"/>
        </w:tabs>
        <w:ind w:left="539" w:hanging="17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bullet"/>
      <w:lvlText w:val="‣"/>
      <w:lvlJc w:val="left"/>
      <w:pPr>
        <w:tabs>
          <w:tab w:val="num" w:pos="1219"/>
        </w:tabs>
        <w:ind w:left="709" w:hanging="17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bullet"/>
      <w:lvlText w:val="‣"/>
      <w:lvlJc w:val="left"/>
      <w:pPr>
        <w:tabs>
          <w:tab w:val="num" w:pos="1559"/>
        </w:tabs>
        <w:ind w:left="879" w:hanging="17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bullet"/>
      <w:lvlText w:val="‣"/>
      <w:lvlJc w:val="left"/>
      <w:pPr>
        <w:tabs>
          <w:tab w:val="num" w:pos="1899"/>
        </w:tabs>
        <w:ind w:left="1049" w:hanging="17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bullet"/>
      <w:lvlText w:val="‣"/>
      <w:lvlJc w:val="left"/>
      <w:pPr>
        <w:tabs>
          <w:tab w:val="num" w:pos="2239"/>
        </w:tabs>
        <w:ind w:left="1219" w:hanging="17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bullet"/>
      <w:lvlText w:val="‣"/>
      <w:lvlJc w:val="left"/>
      <w:pPr>
        <w:tabs>
          <w:tab w:val="num" w:pos="2580"/>
        </w:tabs>
        <w:ind w:left="1389" w:hanging="17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bullet"/>
      <w:lvlText w:val="‣"/>
      <w:lvlJc w:val="left"/>
      <w:pPr>
        <w:tabs>
          <w:tab w:val="num" w:pos="2920"/>
        </w:tabs>
        <w:ind w:left="1559" w:hanging="17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5">
    <w:nsid w:val="70023E3D"/>
    <w:multiLevelType w:val="hybridMultilevel"/>
    <w:tmpl w:val="C744F296"/>
    <w:lvl w:ilvl="0" w:tplc="36B88716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73DA4DAA"/>
    <w:multiLevelType w:val="multilevel"/>
    <w:tmpl w:val="7A407364"/>
    <w:lvl w:ilvl="0">
      <w:numFmt w:val="bullet"/>
      <w:lvlText w:val="‣"/>
      <w:lvlJc w:val="left"/>
      <w:pPr>
        <w:tabs>
          <w:tab w:val="num" w:pos="198"/>
        </w:tabs>
        <w:ind w:left="198" w:hanging="17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bullet"/>
      <w:lvlText w:val="‣"/>
      <w:lvlJc w:val="left"/>
      <w:pPr>
        <w:tabs>
          <w:tab w:val="num" w:pos="539"/>
        </w:tabs>
        <w:ind w:left="369" w:hanging="17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bullet"/>
      <w:lvlText w:val="‣"/>
      <w:lvlJc w:val="left"/>
      <w:pPr>
        <w:tabs>
          <w:tab w:val="num" w:pos="879"/>
        </w:tabs>
        <w:ind w:left="539" w:hanging="170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bullet"/>
      <w:lvlText w:val="‣"/>
      <w:lvlJc w:val="left"/>
      <w:pPr>
        <w:tabs>
          <w:tab w:val="num" w:pos="1219"/>
        </w:tabs>
        <w:ind w:left="709" w:hanging="17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bullet"/>
      <w:lvlText w:val="‣"/>
      <w:lvlJc w:val="left"/>
      <w:pPr>
        <w:tabs>
          <w:tab w:val="num" w:pos="1559"/>
        </w:tabs>
        <w:ind w:left="879" w:hanging="17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bullet"/>
      <w:lvlText w:val="‣"/>
      <w:lvlJc w:val="left"/>
      <w:pPr>
        <w:tabs>
          <w:tab w:val="num" w:pos="1899"/>
        </w:tabs>
        <w:ind w:left="1049" w:hanging="170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bullet"/>
      <w:lvlText w:val="‣"/>
      <w:lvlJc w:val="left"/>
      <w:pPr>
        <w:tabs>
          <w:tab w:val="num" w:pos="2239"/>
        </w:tabs>
        <w:ind w:left="1219" w:hanging="17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bullet"/>
      <w:lvlText w:val="‣"/>
      <w:lvlJc w:val="left"/>
      <w:pPr>
        <w:tabs>
          <w:tab w:val="num" w:pos="2580"/>
        </w:tabs>
        <w:ind w:left="1389" w:hanging="17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bullet"/>
      <w:lvlText w:val="‣"/>
      <w:lvlJc w:val="left"/>
      <w:pPr>
        <w:tabs>
          <w:tab w:val="num" w:pos="2920"/>
        </w:tabs>
        <w:ind w:left="1559" w:hanging="170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7">
    <w:nsid w:val="7CF87F9C"/>
    <w:multiLevelType w:val="hybridMultilevel"/>
    <w:tmpl w:val="C312FA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6"/>
  </w:num>
  <w:num w:numId="8">
    <w:abstractNumId w:val="6"/>
  </w:num>
  <w:num w:numId="9">
    <w:abstractNumId w:val="14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17"/>
  </w:num>
  <w:num w:numId="15">
    <w:abstractNumId w:val="3"/>
  </w:num>
  <w:num w:numId="16">
    <w:abstractNumId w:val="1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13"/>
    <w:rsid w:val="004C3814"/>
    <w:rsid w:val="00C234FB"/>
    <w:rsid w:val="00D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3D7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one"/>
    <w:pPr>
      <w:numPr>
        <w:numId w:val="11"/>
      </w:numPr>
    </w:pPr>
  </w:style>
  <w:style w:type="numbering" w:customStyle="1" w:styleId="None">
    <w:name w:val="None"/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99"/>
      <w:sz w:val="14"/>
      <w:szCs w:val="1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4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4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curriculum.gov.bc.ca/curriculum" TargetMode="External"/><Relationship Id="rId9" Type="http://schemas.openxmlformats.org/officeDocument/2006/relationships/hyperlink" Target="http://www.thielmann.ca/new-bc-curriculum.html" TargetMode="Externa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492</Words>
  <Characters>2805</Characters>
  <Application>Microsoft Macintosh Word</Application>
  <DocSecurity>0</DocSecurity>
  <Lines>23</Lines>
  <Paragraphs>6</Paragraphs>
  <ScaleCrop>false</ScaleCrop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2016-04-28T17:59:00Z</dcterms:created>
  <dcterms:modified xsi:type="dcterms:W3CDTF">2016-04-28T18:12:00Z</dcterms:modified>
</cp:coreProperties>
</file>